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4147" w:rsidRPr="00A14147" w:rsidRDefault="00A14147" w:rsidP="00A14147">
      <w:pPr>
        <w:spacing w:line="480" w:lineRule="auto"/>
        <w:rPr>
          <w:rFonts w:ascii="Times New Roman" w:hAnsi="Times New Roman" w:cs="Times New Roman"/>
          <w:sz w:val="24"/>
          <w:szCs w:val="24"/>
        </w:rPr>
      </w:pPr>
    </w:p>
    <w:p w:rsidR="00A14147" w:rsidRPr="00A14147" w:rsidRDefault="00A14147" w:rsidP="00A14147">
      <w:pPr>
        <w:spacing w:line="480" w:lineRule="auto"/>
        <w:rPr>
          <w:rFonts w:ascii="Times New Roman" w:hAnsi="Times New Roman" w:cs="Times New Roman"/>
          <w:sz w:val="24"/>
          <w:szCs w:val="24"/>
        </w:rPr>
      </w:pPr>
    </w:p>
    <w:p w:rsidR="00A14147" w:rsidRPr="00A14147" w:rsidRDefault="00A14147" w:rsidP="00A14147">
      <w:pPr>
        <w:spacing w:line="480" w:lineRule="auto"/>
        <w:rPr>
          <w:rFonts w:ascii="Times New Roman" w:hAnsi="Times New Roman" w:cs="Times New Roman"/>
          <w:sz w:val="24"/>
          <w:szCs w:val="24"/>
        </w:rPr>
      </w:pPr>
    </w:p>
    <w:p w:rsidR="00A14147" w:rsidRPr="00A14147" w:rsidRDefault="00A14147" w:rsidP="00A14147">
      <w:pPr>
        <w:spacing w:line="480" w:lineRule="auto"/>
        <w:rPr>
          <w:rFonts w:ascii="Times New Roman" w:hAnsi="Times New Roman" w:cs="Times New Roman"/>
          <w:sz w:val="24"/>
          <w:szCs w:val="24"/>
        </w:rPr>
      </w:pPr>
    </w:p>
    <w:p w:rsidR="00A14147" w:rsidRPr="00A14147" w:rsidRDefault="00A14147" w:rsidP="00A14147">
      <w:pPr>
        <w:spacing w:line="480" w:lineRule="auto"/>
        <w:rPr>
          <w:rFonts w:ascii="Times New Roman" w:hAnsi="Times New Roman" w:cs="Times New Roman"/>
          <w:sz w:val="24"/>
          <w:szCs w:val="24"/>
        </w:rPr>
      </w:pPr>
    </w:p>
    <w:p w:rsidR="00A14147" w:rsidRPr="00A14147" w:rsidRDefault="00A14147" w:rsidP="00A14147">
      <w:pPr>
        <w:spacing w:line="480" w:lineRule="auto"/>
        <w:rPr>
          <w:rFonts w:ascii="Times New Roman" w:hAnsi="Times New Roman" w:cs="Times New Roman"/>
          <w:sz w:val="24"/>
          <w:szCs w:val="24"/>
        </w:rPr>
      </w:pPr>
    </w:p>
    <w:p w:rsidR="00A14147" w:rsidRPr="00A14147" w:rsidRDefault="00A14147" w:rsidP="00A14147">
      <w:pPr>
        <w:spacing w:line="480" w:lineRule="auto"/>
        <w:jc w:val="center"/>
        <w:rPr>
          <w:rFonts w:ascii="Times New Roman" w:hAnsi="Times New Roman" w:cs="Times New Roman"/>
          <w:sz w:val="24"/>
          <w:szCs w:val="24"/>
        </w:rPr>
      </w:pPr>
      <w:r w:rsidRPr="00A14147">
        <w:rPr>
          <w:rFonts w:ascii="Times New Roman" w:hAnsi="Times New Roman" w:cs="Times New Roman"/>
          <w:sz w:val="24"/>
          <w:szCs w:val="24"/>
        </w:rPr>
        <w:t xml:space="preserve">Definition of Terms </w:t>
      </w:r>
    </w:p>
    <w:p w:rsidR="00A14147" w:rsidRPr="00A14147" w:rsidRDefault="00A14147" w:rsidP="00A14147">
      <w:pPr>
        <w:spacing w:line="480" w:lineRule="auto"/>
        <w:jc w:val="center"/>
        <w:rPr>
          <w:rFonts w:ascii="Times New Roman" w:hAnsi="Times New Roman" w:cs="Times New Roman"/>
          <w:sz w:val="24"/>
          <w:szCs w:val="24"/>
        </w:rPr>
      </w:pPr>
      <w:r w:rsidRPr="00A14147">
        <w:rPr>
          <w:rFonts w:ascii="Times New Roman" w:hAnsi="Times New Roman" w:cs="Times New Roman"/>
          <w:sz w:val="24"/>
          <w:szCs w:val="24"/>
        </w:rPr>
        <w:t>Name of Student</w:t>
      </w:r>
    </w:p>
    <w:p w:rsidR="00A14147" w:rsidRPr="00A14147" w:rsidRDefault="00A14147" w:rsidP="00A14147">
      <w:pPr>
        <w:spacing w:line="480" w:lineRule="auto"/>
        <w:jc w:val="center"/>
        <w:rPr>
          <w:rFonts w:ascii="Times New Roman" w:hAnsi="Times New Roman" w:cs="Times New Roman"/>
          <w:sz w:val="24"/>
          <w:szCs w:val="24"/>
        </w:rPr>
      </w:pPr>
      <w:r w:rsidRPr="00A14147">
        <w:rPr>
          <w:rFonts w:ascii="Times New Roman" w:hAnsi="Times New Roman" w:cs="Times New Roman"/>
          <w:sz w:val="24"/>
          <w:szCs w:val="24"/>
        </w:rPr>
        <w:t>Name of Institution</w:t>
      </w:r>
    </w:p>
    <w:p w:rsidR="00A14147" w:rsidRPr="00A14147" w:rsidRDefault="00A14147" w:rsidP="00A14147">
      <w:pPr>
        <w:spacing w:line="480" w:lineRule="auto"/>
        <w:jc w:val="center"/>
        <w:rPr>
          <w:rFonts w:ascii="Times New Roman" w:hAnsi="Times New Roman" w:cs="Times New Roman"/>
          <w:sz w:val="24"/>
          <w:szCs w:val="24"/>
        </w:rPr>
      </w:pPr>
      <w:r w:rsidRPr="00A14147">
        <w:rPr>
          <w:rFonts w:ascii="Times New Roman" w:hAnsi="Times New Roman" w:cs="Times New Roman"/>
          <w:sz w:val="24"/>
          <w:szCs w:val="24"/>
        </w:rPr>
        <w:t>Date</w:t>
      </w:r>
      <w:r w:rsidRPr="00A14147">
        <w:rPr>
          <w:rFonts w:ascii="Times New Roman" w:hAnsi="Times New Roman" w:cs="Times New Roman"/>
          <w:sz w:val="24"/>
          <w:szCs w:val="24"/>
        </w:rPr>
        <w:br w:type="page"/>
      </w:r>
    </w:p>
    <w:p w:rsidR="00000000" w:rsidRPr="00A14147" w:rsidRDefault="0010628D" w:rsidP="00A14147">
      <w:pPr>
        <w:spacing w:line="480" w:lineRule="auto"/>
        <w:rPr>
          <w:rFonts w:ascii="Times New Roman" w:hAnsi="Times New Roman" w:cs="Times New Roman"/>
          <w:b/>
          <w:sz w:val="24"/>
          <w:szCs w:val="24"/>
        </w:rPr>
      </w:pPr>
      <w:r w:rsidRPr="00A14147">
        <w:rPr>
          <w:rFonts w:ascii="Times New Roman" w:hAnsi="Times New Roman" w:cs="Times New Roman"/>
          <w:b/>
          <w:sz w:val="24"/>
          <w:szCs w:val="24"/>
        </w:rPr>
        <w:lastRenderedPageBreak/>
        <w:t>Branches of the government</w:t>
      </w:r>
    </w:p>
    <w:p w:rsidR="007C5353" w:rsidRPr="00A14147" w:rsidRDefault="007C5353" w:rsidP="00A14147">
      <w:pPr>
        <w:spacing w:line="480" w:lineRule="auto"/>
        <w:ind w:firstLine="720"/>
        <w:rPr>
          <w:rFonts w:ascii="Times New Roman" w:hAnsi="Times New Roman" w:cs="Times New Roman"/>
          <w:sz w:val="24"/>
          <w:szCs w:val="24"/>
        </w:rPr>
      </w:pPr>
      <w:r w:rsidRPr="00A14147">
        <w:rPr>
          <w:rFonts w:ascii="Times New Roman" w:hAnsi="Times New Roman" w:cs="Times New Roman"/>
          <w:sz w:val="24"/>
          <w:szCs w:val="24"/>
        </w:rPr>
        <w:t>The</w:t>
      </w:r>
      <w:r w:rsidR="0021643D" w:rsidRPr="00A14147">
        <w:rPr>
          <w:rFonts w:ascii="Times New Roman" w:hAnsi="Times New Roman" w:cs="Times New Roman"/>
          <w:sz w:val="24"/>
          <w:szCs w:val="24"/>
        </w:rPr>
        <w:t>re are three b</w:t>
      </w:r>
      <w:r w:rsidRPr="00A14147">
        <w:rPr>
          <w:rFonts w:ascii="Times New Roman" w:hAnsi="Times New Roman" w:cs="Times New Roman"/>
          <w:sz w:val="24"/>
          <w:szCs w:val="24"/>
        </w:rPr>
        <w:t xml:space="preserve">ranches of the </w:t>
      </w:r>
      <w:r w:rsidR="0021643D" w:rsidRPr="00A14147">
        <w:rPr>
          <w:rFonts w:ascii="Times New Roman" w:hAnsi="Times New Roman" w:cs="Times New Roman"/>
          <w:sz w:val="24"/>
          <w:szCs w:val="24"/>
        </w:rPr>
        <w:t>g</w:t>
      </w:r>
      <w:r w:rsidRPr="00A14147">
        <w:rPr>
          <w:rFonts w:ascii="Times New Roman" w:hAnsi="Times New Roman" w:cs="Times New Roman"/>
          <w:sz w:val="24"/>
          <w:szCs w:val="24"/>
        </w:rPr>
        <w:t>overnme</w:t>
      </w:r>
      <w:r w:rsidR="0021643D" w:rsidRPr="00A14147">
        <w:rPr>
          <w:rFonts w:ascii="Times New Roman" w:hAnsi="Times New Roman" w:cs="Times New Roman"/>
          <w:sz w:val="24"/>
          <w:szCs w:val="24"/>
        </w:rPr>
        <w:t>nt that are separated by the constitution. The branches are the legislative, executive, and the judicial branches. The constitution dictates the power of each of the three branches so that no single branch has too much power. The legislative branch comprises of the House of Representatives and the Senate and is charged with the making of laws</w:t>
      </w:r>
      <w:r w:rsidR="00A14147" w:rsidRPr="00A14147">
        <w:rPr>
          <w:rFonts w:ascii="Times New Roman" w:hAnsi="Times New Roman" w:cs="Times New Roman"/>
          <w:sz w:val="24"/>
          <w:szCs w:val="24"/>
        </w:rPr>
        <w:t xml:space="preserve"> </w:t>
      </w:r>
      <w:sdt>
        <w:sdtPr>
          <w:rPr>
            <w:rFonts w:ascii="Times New Roman" w:hAnsi="Times New Roman" w:cs="Times New Roman"/>
            <w:sz w:val="24"/>
            <w:szCs w:val="24"/>
          </w:rPr>
          <w:id w:val="4296288"/>
          <w:citation/>
        </w:sdtPr>
        <w:sdtContent>
          <w:r w:rsidR="00A14147" w:rsidRPr="00A14147">
            <w:rPr>
              <w:rFonts w:ascii="Times New Roman" w:hAnsi="Times New Roman" w:cs="Times New Roman"/>
              <w:sz w:val="24"/>
              <w:szCs w:val="24"/>
            </w:rPr>
            <w:fldChar w:fldCharType="begin"/>
          </w:r>
          <w:r w:rsidR="00A14147" w:rsidRPr="00A14147">
            <w:rPr>
              <w:rFonts w:ascii="Times New Roman" w:hAnsi="Times New Roman" w:cs="Times New Roman"/>
              <w:sz w:val="24"/>
              <w:szCs w:val="24"/>
            </w:rPr>
            <w:instrText xml:space="preserve"> CITATION Han12 \l 1033 </w:instrText>
          </w:r>
          <w:r w:rsidR="00A14147" w:rsidRPr="00A14147">
            <w:rPr>
              <w:rFonts w:ascii="Times New Roman" w:hAnsi="Times New Roman" w:cs="Times New Roman"/>
              <w:sz w:val="24"/>
              <w:szCs w:val="24"/>
            </w:rPr>
            <w:fldChar w:fldCharType="separate"/>
          </w:r>
          <w:r w:rsidR="00A14147" w:rsidRPr="00A14147">
            <w:rPr>
              <w:rFonts w:ascii="Times New Roman" w:hAnsi="Times New Roman" w:cs="Times New Roman"/>
              <w:noProof/>
              <w:sz w:val="24"/>
              <w:szCs w:val="24"/>
            </w:rPr>
            <w:t>(Hansen, 2012)</w:t>
          </w:r>
          <w:r w:rsidR="00A14147" w:rsidRPr="00A14147">
            <w:rPr>
              <w:rFonts w:ascii="Times New Roman" w:hAnsi="Times New Roman" w:cs="Times New Roman"/>
              <w:sz w:val="24"/>
              <w:szCs w:val="24"/>
            </w:rPr>
            <w:fldChar w:fldCharType="end"/>
          </w:r>
        </w:sdtContent>
      </w:sdt>
      <w:r w:rsidR="0021643D" w:rsidRPr="00A14147">
        <w:rPr>
          <w:rFonts w:ascii="Times New Roman" w:hAnsi="Times New Roman" w:cs="Times New Roman"/>
          <w:sz w:val="24"/>
          <w:szCs w:val="24"/>
        </w:rPr>
        <w:t xml:space="preserve">. The branch also has the authority to declare war, drafting of proposed laws, and rejection or confirmation of presidential nominations for federal judges, the Supreme Court, and the heads of federal agencies. The executive branch is comprised of the president, the vice president, the Cabinet, and most of the federal agencies. The principal purpose of this branch is carrying out and enforcing the laws as dictated by the constitution </w:t>
      </w:r>
      <w:sdt>
        <w:sdtPr>
          <w:rPr>
            <w:rFonts w:ascii="Times New Roman" w:hAnsi="Times New Roman" w:cs="Times New Roman"/>
            <w:sz w:val="24"/>
            <w:szCs w:val="24"/>
          </w:rPr>
          <w:id w:val="4296287"/>
          <w:citation/>
        </w:sdtPr>
        <w:sdtContent>
          <w:r w:rsidR="0021643D" w:rsidRPr="00A14147">
            <w:rPr>
              <w:rFonts w:ascii="Times New Roman" w:hAnsi="Times New Roman" w:cs="Times New Roman"/>
              <w:sz w:val="24"/>
              <w:szCs w:val="24"/>
            </w:rPr>
            <w:fldChar w:fldCharType="begin"/>
          </w:r>
          <w:r w:rsidR="0021643D" w:rsidRPr="00A14147">
            <w:rPr>
              <w:rFonts w:ascii="Times New Roman" w:hAnsi="Times New Roman" w:cs="Times New Roman"/>
              <w:sz w:val="24"/>
              <w:szCs w:val="24"/>
            </w:rPr>
            <w:instrText xml:space="preserve"> CITATION Fis14 \l 1033 </w:instrText>
          </w:r>
          <w:r w:rsidR="0021643D" w:rsidRPr="00A14147">
            <w:rPr>
              <w:rFonts w:ascii="Times New Roman" w:hAnsi="Times New Roman" w:cs="Times New Roman"/>
              <w:sz w:val="24"/>
              <w:szCs w:val="24"/>
            </w:rPr>
            <w:fldChar w:fldCharType="separate"/>
          </w:r>
          <w:r w:rsidR="0021643D" w:rsidRPr="00A14147">
            <w:rPr>
              <w:rFonts w:ascii="Times New Roman" w:hAnsi="Times New Roman" w:cs="Times New Roman"/>
              <w:noProof/>
              <w:sz w:val="24"/>
              <w:szCs w:val="24"/>
            </w:rPr>
            <w:t>(Fisher, 2014)</w:t>
          </w:r>
          <w:r w:rsidR="0021643D" w:rsidRPr="00A14147">
            <w:rPr>
              <w:rFonts w:ascii="Times New Roman" w:hAnsi="Times New Roman" w:cs="Times New Roman"/>
              <w:sz w:val="24"/>
              <w:szCs w:val="24"/>
            </w:rPr>
            <w:fldChar w:fldCharType="end"/>
          </w:r>
        </w:sdtContent>
      </w:sdt>
      <w:r w:rsidR="0021643D" w:rsidRPr="00A14147">
        <w:rPr>
          <w:rFonts w:ascii="Times New Roman" w:hAnsi="Times New Roman" w:cs="Times New Roman"/>
          <w:sz w:val="24"/>
          <w:szCs w:val="24"/>
        </w:rPr>
        <w:t xml:space="preserve">. The judicial branch consists of the Supreme Court and other courts. Te branch is responsible for the interpretation of the laws as meant by the constitution, application of the laws to individual court proceedings, and makes the decision on whether the existing laws are in violation of the constitution. </w:t>
      </w:r>
    </w:p>
    <w:p w:rsidR="0010628D" w:rsidRPr="00A14147" w:rsidRDefault="0010628D" w:rsidP="00A14147">
      <w:pPr>
        <w:spacing w:line="480" w:lineRule="auto"/>
        <w:rPr>
          <w:rFonts w:ascii="Times New Roman" w:hAnsi="Times New Roman" w:cs="Times New Roman"/>
          <w:b/>
          <w:sz w:val="24"/>
          <w:szCs w:val="24"/>
        </w:rPr>
      </w:pPr>
      <w:r w:rsidRPr="00A14147">
        <w:rPr>
          <w:rFonts w:ascii="Times New Roman" w:hAnsi="Times New Roman" w:cs="Times New Roman"/>
          <w:b/>
          <w:sz w:val="24"/>
          <w:szCs w:val="24"/>
        </w:rPr>
        <w:t>Case Law</w:t>
      </w:r>
    </w:p>
    <w:p w:rsidR="0010628D" w:rsidRPr="00A14147" w:rsidRDefault="009B5C75" w:rsidP="00A14147">
      <w:pPr>
        <w:spacing w:line="480" w:lineRule="auto"/>
        <w:ind w:firstLine="720"/>
        <w:rPr>
          <w:rFonts w:ascii="Times New Roman" w:hAnsi="Times New Roman" w:cs="Times New Roman"/>
          <w:sz w:val="24"/>
          <w:szCs w:val="24"/>
        </w:rPr>
      </w:pPr>
      <w:r w:rsidRPr="00A14147">
        <w:rPr>
          <w:rFonts w:ascii="Times New Roman" w:hAnsi="Times New Roman" w:cs="Times New Roman"/>
          <w:sz w:val="24"/>
          <w:szCs w:val="24"/>
        </w:rPr>
        <w:t>The term case law defines a precedent ruling by judges in previous cases that provides a circumstantial background on specific legal frameworks. The precedent is also a determinant of how the case law is applied to other cases with consideration for the jurisdiction and the circumstances of the current case</w:t>
      </w:r>
      <w:r w:rsidR="008F3228" w:rsidRPr="00A14147">
        <w:rPr>
          <w:rFonts w:ascii="Times New Roman" w:hAnsi="Times New Roman" w:cs="Times New Roman"/>
          <w:sz w:val="24"/>
          <w:szCs w:val="24"/>
        </w:rPr>
        <w:t xml:space="preserve"> </w:t>
      </w:r>
      <w:sdt>
        <w:sdtPr>
          <w:rPr>
            <w:rFonts w:ascii="Times New Roman" w:hAnsi="Times New Roman" w:cs="Times New Roman"/>
            <w:sz w:val="24"/>
            <w:szCs w:val="24"/>
          </w:rPr>
          <w:id w:val="4296283"/>
          <w:citation/>
        </w:sdtPr>
        <w:sdtContent>
          <w:r w:rsidR="008F3228" w:rsidRPr="00A14147">
            <w:rPr>
              <w:rFonts w:ascii="Times New Roman" w:hAnsi="Times New Roman" w:cs="Times New Roman"/>
              <w:sz w:val="24"/>
              <w:szCs w:val="24"/>
            </w:rPr>
            <w:fldChar w:fldCharType="begin"/>
          </w:r>
          <w:r w:rsidR="008F3228" w:rsidRPr="00A14147">
            <w:rPr>
              <w:rFonts w:ascii="Times New Roman" w:hAnsi="Times New Roman" w:cs="Times New Roman"/>
              <w:sz w:val="24"/>
              <w:szCs w:val="24"/>
            </w:rPr>
            <w:instrText xml:space="preserve"> CITATION Mit16 \l 1033 </w:instrText>
          </w:r>
          <w:r w:rsidR="008F3228" w:rsidRPr="00A14147">
            <w:rPr>
              <w:rFonts w:ascii="Times New Roman" w:hAnsi="Times New Roman" w:cs="Times New Roman"/>
              <w:sz w:val="24"/>
              <w:szCs w:val="24"/>
            </w:rPr>
            <w:fldChar w:fldCharType="separate"/>
          </w:r>
          <w:r w:rsidR="008F3228" w:rsidRPr="00A14147">
            <w:rPr>
              <w:rFonts w:ascii="Times New Roman" w:hAnsi="Times New Roman" w:cs="Times New Roman"/>
              <w:noProof/>
              <w:sz w:val="24"/>
              <w:szCs w:val="24"/>
            </w:rPr>
            <w:t>(Mitchell, 2016)</w:t>
          </w:r>
          <w:r w:rsidR="008F3228" w:rsidRPr="00A14147">
            <w:rPr>
              <w:rFonts w:ascii="Times New Roman" w:hAnsi="Times New Roman" w:cs="Times New Roman"/>
              <w:sz w:val="24"/>
              <w:szCs w:val="24"/>
            </w:rPr>
            <w:fldChar w:fldCharType="end"/>
          </w:r>
        </w:sdtContent>
      </w:sdt>
      <w:r w:rsidRPr="00A14147">
        <w:rPr>
          <w:rFonts w:ascii="Times New Roman" w:hAnsi="Times New Roman" w:cs="Times New Roman"/>
          <w:sz w:val="24"/>
          <w:szCs w:val="24"/>
        </w:rPr>
        <w:t xml:space="preserve">. Case law is established in previous rulings of the court and the decisions and judgments bound by this term arise from tradition and judicial decisions. The precedent offers a form of guideline of how to interpret the law in scenarios where the law is not clear on how it applies to specific situations and case in question. </w:t>
      </w:r>
      <w:r w:rsidR="00555226" w:rsidRPr="00A14147">
        <w:rPr>
          <w:rFonts w:ascii="Times New Roman" w:hAnsi="Times New Roman" w:cs="Times New Roman"/>
          <w:sz w:val="24"/>
          <w:szCs w:val="24"/>
        </w:rPr>
        <w:t xml:space="preserve">An </w:t>
      </w:r>
      <w:r w:rsidR="00555226" w:rsidRPr="00A14147">
        <w:rPr>
          <w:rFonts w:ascii="Times New Roman" w:hAnsi="Times New Roman" w:cs="Times New Roman"/>
          <w:sz w:val="24"/>
          <w:szCs w:val="24"/>
        </w:rPr>
        <w:lastRenderedPageBreak/>
        <w:t xml:space="preserve">example of such a precedent is when a tenant takes the landlord to court for wrongful eviction claiming the lack of sufficient notice period. </w:t>
      </w:r>
      <w:r w:rsidR="002054D0" w:rsidRPr="00A14147">
        <w:rPr>
          <w:rFonts w:ascii="Times New Roman" w:hAnsi="Times New Roman" w:cs="Times New Roman"/>
          <w:sz w:val="24"/>
          <w:szCs w:val="24"/>
        </w:rPr>
        <w:t>The judge will then use a similar case scenario that set the minimum notification period as ninety days in their ruling, provided both cases share jurisdiction and pose similar circumstances.</w:t>
      </w:r>
      <w:r w:rsidR="008F3228" w:rsidRPr="00A14147">
        <w:rPr>
          <w:rFonts w:ascii="Times New Roman" w:hAnsi="Times New Roman" w:cs="Times New Roman"/>
          <w:sz w:val="24"/>
          <w:szCs w:val="24"/>
        </w:rPr>
        <w:t xml:space="preserve"> Though the case law presents a principle of law but not a rule in the statute books, a</w:t>
      </w:r>
      <w:r w:rsidR="002054D0" w:rsidRPr="00A14147">
        <w:rPr>
          <w:rFonts w:ascii="Times New Roman" w:hAnsi="Times New Roman" w:cs="Times New Roman"/>
          <w:sz w:val="24"/>
          <w:szCs w:val="24"/>
        </w:rPr>
        <w:t>pplicability of case law in court also requires definite and sufficient amount o</w:t>
      </w:r>
      <w:r w:rsidR="008F3228" w:rsidRPr="00A14147">
        <w:rPr>
          <w:rFonts w:ascii="Times New Roman" w:hAnsi="Times New Roman" w:cs="Times New Roman"/>
          <w:sz w:val="24"/>
          <w:szCs w:val="24"/>
        </w:rPr>
        <w:t>f</w:t>
      </w:r>
      <w:r w:rsidR="002054D0" w:rsidRPr="00A14147">
        <w:rPr>
          <w:rFonts w:ascii="Times New Roman" w:hAnsi="Times New Roman" w:cs="Times New Roman"/>
          <w:sz w:val="24"/>
          <w:szCs w:val="24"/>
        </w:rPr>
        <w:t xml:space="preserve"> proof</w:t>
      </w:r>
      <w:r w:rsidR="008F3228" w:rsidRPr="00A14147">
        <w:rPr>
          <w:rFonts w:ascii="Times New Roman" w:hAnsi="Times New Roman" w:cs="Times New Roman"/>
          <w:sz w:val="24"/>
          <w:szCs w:val="24"/>
        </w:rPr>
        <w:t xml:space="preserve">. This concept and burden of proof </w:t>
      </w:r>
      <w:r w:rsidR="002054D0" w:rsidRPr="00A14147">
        <w:rPr>
          <w:rFonts w:ascii="Times New Roman" w:hAnsi="Times New Roman" w:cs="Times New Roman"/>
          <w:sz w:val="24"/>
          <w:szCs w:val="24"/>
        </w:rPr>
        <w:t xml:space="preserve">presents the challenge on what proof is necessary, and where to find such evidence </w:t>
      </w:r>
      <w:sdt>
        <w:sdtPr>
          <w:rPr>
            <w:rFonts w:ascii="Times New Roman" w:hAnsi="Times New Roman" w:cs="Times New Roman"/>
            <w:sz w:val="24"/>
            <w:szCs w:val="24"/>
          </w:rPr>
          <w:id w:val="4296282"/>
          <w:citation/>
        </w:sdtPr>
        <w:sdtContent>
          <w:r w:rsidR="002054D0" w:rsidRPr="00A14147">
            <w:rPr>
              <w:rFonts w:ascii="Times New Roman" w:hAnsi="Times New Roman" w:cs="Times New Roman"/>
              <w:sz w:val="24"/>
              <w:szCs w:val="24"/>
            </w:rPr>
            <w:fldChar w:fldCharType="begin"/>
          </w:r>
          <w:r w:rsidR="002054D0" w:rsidRPr="00A14147">
            <w:rPr>
              <w:rFonts w:ascii="Times New Roman" w:hAnsi="Times New Roman" w:cs="Times New Roman"/>
              <w:sz w:val="24"/>
              <w:szCs w:val="24"/>
            </w:rPr>
            <w:instrText xml:space="preserve"> CITATION Shu13 \l 1033 </w:instrText>
          </w:r>
          <w:r w:rsidR="002054D0" w:rsidRPr="00A14147">
            <w:rPr>
              <w:rFonts w:ascii="Times New Roman" w:hAnsi="Times New Roman" w:cs="Times New Roman"/>
              <w:sz w:val="24"/>
              <w:szCs w:val="24"/>
            </w:rPr>
            <w:fldChar w:fldCharType="separate"/>
          </w:r>
          <w:r w:rsidR="002054D0" w:rsidRPr="00A14147">
            <w:rPr>
              <w:rFonts w:ascii="Times New Roman" w:hAnsi="Times New Roman" w:cs="Times New Roman"/>
              <w:noProof/>
              <w:sz w:val="24"/>
              <w:szCs w:val="24"/>
            </w:rPr>
            <w:t>(Shuibine &amp; Maci, 2013)</w:t>
          </w:r>
          <w:r w:rsidR="002054D0" w:rsidRPr="00A14147">
            <w:rPr>
              <w:rFonts w:ascii="Times New Roman" w:hAnsi="Times New Roman" w:cs="Times New Roman"/>
              <w:sz w:val="24"/>
              <w:szCs w:val="24"/>
            </w:rPr>
            <w:fldChar w:fldCharType="end"/>
          </w:r>
        </w:sdtContent>
      </w:sdt>
      <w:r w:rsidR="002054D0" w:rsidRPr="00A14147">
        <w:rPr>
          <w:rFonts w:ascii="Times New Roman" w:hAnsi="Times New Roman" w:cs="Times New Roman"/>
          <w:sz w:val="24"/>
          <w:szCs w:val="24"/>
        </w:rPr>
        <w:t xml:space="preserve">. </w:t>
      </w:r>
    </w:p>
    <w:p w:rsidR="0010628D" w:rsidRPr="00A14147" w:rsidRDefault="009B5C75" w:rsidP="00A14147">
      <w:pPr>
        <w:spacing w:line="480" w:lineRule="auto"/>
        <w:rPr>
          <w:rFonts w:ascii="Times New Roman" w:hAnsi="Times New Roman" w:cs="Times New Roman"/>
          <w:b/>
          <w:sz w:val="24"/>
          <w:szCs w:val="24"/>
        </w:rPr>
      </w:pPr>
      <w:r w:rsidRPr="00A14147">
        <w:rPr>
          <w:rFonts w:ascii="Times New Roman" w:hAnsi="Times New Roman" w:cs="Times New Roman"/>
          <w:b/>
          <w:sz w:val="24"/>
          <w:szCs w:val="24"/>
        </w:rPr>
        <w:t>Administrative regulations</w:t>
      </w:r>
    </w:p>
    <w:p w:rsidR="00A14147" w:rsidRPr="00A14147" w:rsidRDefault="008F3228" w:rsidP="00A14147">
      <w:pPr>
        <w:spacing w:line="480" w:lineRule="auto"/>
        <w:ind w:firstLine="720"/>
        <w:rPr>
          <w:rFonts w:ascii="Times New Roman" w:hAnsi="Times New Roman" w:cs="Times New Roman"/>
          <w:sz w:val="24"/>
          <w:szCs w:val="24"/>
        </w:rPr>
      </w:pPr>
      <w:r w:rsidRPr="00A14147">
        <w:rPr>
          <w:rFonts w:ascii="Times New Roman" w:hAnsi="Times New Roman" w:cs="Times New Roman"/>
          <w:sz w:val="24"/>
          <w:szCs w:val="24"/>
        </w:rPr>
        <w:t>Administrative regulation describes a body of law which deals with the powers, rules duties, and establishment of the administrative agencies of the government. The body of law originates from the development of the American regulatory commissions</w:t>
      </w:r>
      <w:r w:rsidR="007C5353" w:rsidRPr="00A14147">
        <w:rPr>
          <w:rFonts w:ascii="Times New Roman" w:hAnsi="Times New Roman" w:cs="Times New Roman"/>
          <w:sz w:val="24"/>
          <w:szCs w:val="24"/>
        </w:rPr>
        <w:t xml:space="preserve"> </w:t>
      </w:r>
      <w:sdt>
        <w:sdtPr>
          <w:rPr>
            <w:rFonts w:ascii="Times New Roman" w:hAnsi="Times New Roman" w:cs="Times New Roman"/>
            <w:sz w:val="24"/>
            <w:szCs w:val="24"/>
          </w:rPr>
          <w:id w:val="4296285"/>
          <w:citation/>
        </w:sdtPr>
        <w:sdtContent>
          <w:r w:rsidR="007C5353" w:rsidRPr="00A14147">
            <w:rPr>
              <w:rFonts w:ascii="Times New Roman" w:hAnsi="Times New Roman" w:cs="Times New Roman"/>
              <w:sz w:val="24"/>
              <w:szCs w:val="24"/>
            </w:rPr>
            <w:fldChar w:fldCharType="begin"/>
          </w:r>
          <w:r w:rsidR="007C5353" w:rsidRPr="00A14147">
            <w:rPr>
              <w:rFonts w:ascii="Times New Roman" w:hAnsi="Times New Roman" w:cs="Times New Roman"/>
              <w:sz w:val="24"/>
              <w:szCs w:val="24"/>
            </w:rPr>
            <w:instrText xml:space="preserve"> CITATION Kli14 \l 1033 </w:instrText>
          </w:r>
          <w:r w:rsidR="007C5353" w:rsidRPr="00A14147">
            <w:rPr>
              <w:rFonts w:ascii="Times New Roman" w:hAnsi="Times New Roman" w:cs="Times New Roman"/>
              <w:sz w:val="24"/>
              <w:szCs w:val="24"/>
            </w:rPr>
            <w:fldChar w:fldCharType="separate"/>
          </w:r>
          <w:r w:rsidR="007C5353" w:rsidRPr="00A14147">
            <w:rPr>
              <w:rFonts w:ascii="Times New Roman" w:hAnsi="Times New Roman" w:cs="Times New Roman"/>
              <w:noProof/>
              <w:sz w:val="24"/>
              <w:szCs w:val="24"/>
            </w:rPr>
            <w:t>(Klimenko, 2014)</w:t>
          </w:r>
          <w:r w:rsidR="007C5353" w:rsidRPr="00A14147">
            <w:rPr>
              <w:rFonts w:ascii="Times New Roman" w:hAnsi="Times New Roman" w:cs="Times New Roman"/>
              <w:sz w:val="24"/>
              <w:szCs w:val="24"/>
            </w:rPr>
            <w:fldChar w:fldCharType="end"/>
          </w:r>
        </w:sdtContent>
      </w:sdt>
      <w:r w:rsidRPr="00A14147">
        <w:rPr>
          <w:rFonts w:ascii="Times New Roman" w:hAnsi="Times New Roman" w:cs="Times New Roman"/>
          <w:sz w:val="24"/>
          <w:szCs w:val="24"/>
        </w:rPr>
        <w:t xml:space="preserve">. It is indistinct and indefinite due to the vast array of government programs administered by the agencies in question. </w:t>
      </w:r>
      <w:r w:rsidR="00246AF9" w:rsidRPr="00A14147">
        <w:rPr>
          <w:rFonts w:ascii="Times New Roman" w:hAnsi="Times New Roman" w:cs="Times New Roman"/>
          <w:sz w:val="24"/>
          <w:szCs w:val="24"/>
        </w:rPr>
        <w:t xml:space="preserve">Administrative regulation is often associated with instances when any form of public benefit has been denied or terminated by a boards, commission or agencies. An example of administrative regulation is the power granted to the Raisin Administrative Committee by the USDA which gave them the responsibility of regulating the amount of raisin that the government could hold as reserve. However, a raisin farmer in opposition restructured his operation to be a distributor. The committee fined the farmer, whom after several appeals; the Supreme Court ruled that he was due just compensation for his raisins </w:t>
      </w:r>
      <w:sdt>
        <w:sdtPr>
          <w:rPr>
            <w:rFonts w:ascii="Times New Roman" w:hAnsi="Times New Roman" w:cs="Times New Roman"/>
            <w:sz w:val="24"/>
            <w:szCs w:val="24"/>
          </w:rPr>
          <w:id w:val="4296284"/>
          <w:citation/>
        </w:sdtPr>
        <w:sdtContent>
          <w:r w:rsidR="00246AF9" w:rsidRPr="00A14147">
            <w:rPr>
              <w:rFonts w:ascii="Times New Roman" w:hAnsi="Times New Roman" w:cs="Times New Roman"/>
              <w:sz w:val="24"/>
              <w:szCs w:val="24"/>
            </w:rPr>
            <w:fldChar w:fldCharType="begin"/>
          </w:r>
          <w:r w:rsidR="00246AF9" w:rsidRPr="00A14147">
            <w:rPr>
              <w:rFonts w:ascii="Times New Roman" w:hAnsi="Times New Roman" w:cs="Times New Roman"/>
              <w:sz w:val="24"/>
              <w:szCs w:val="24"/>
            </w:rPr>
            <w:instrText xml:space="preserve"> CITATION Bur15 \l 1033 </w:instrText>
          </w:r>
          <w:r w:rsidR="00246AF9" w:rsidRPr="00A14147">
            <w:rPr>
              <w:rFonts w:ascii="Times New Roman" w:hAnsi="Times New Roman" w:cs="Times New Roman"/>
              <w:sz w:val="24"/>
              <w:szCs w:val="24"/>
            </w:rPr>
            <w:fldChar w:fldCharType="separate"/>
          </w:r>
          <w:r w:rsidR="00246AF9" w:rsidRPr="00A14147">
            <w:rPr>
              <w:rFonts w:ascii="Times New Roman" w:hAnsi="Times New Roman" w:cs="Times New Roman"/>
              <w:noProof/>
              <w:sz w:val="24"/>
              <w:szCs w:val="24"/>
            </w:rPr>
            <w:t>(Burrus, 2015)</w:t>
          </w:r>
          <w:r w:rsidR="00246AF9" w:rsidRPr="00A14147">
            <w:rPr>
              <w:rFonts w:ascii="Times New Roman" w:hAnsi="Times New Roman" w:cs="Times New Roman"/>
              <w:sz w:val="24"/>
              <w:szCs w:val="24"/>
            </w:rPr>
            <w:fldChar w:fldCharType="end"/>
          </w:r>
        </w:sdtContent>
      </w:sdt>
      <w:r w:rsidR="00246AF9" w:rsidRPr="00A14147">
        <w:rPr>
          <w:rFonts w:ascii="Times New Roman" w:hAnsi="Times New Roman" w:cs="Times New Roman"/>
          <w:sz w:val="24"/>
          <w:szCs w:val="24"/>
        </w:rPr>
        <w:t xml:space="preserve">. </w:t>
      </w:r>
      <w:r w:rsidR="007C5353" w:rsidRPr="00A14147">
        <w:rPr>
          <w:rFonts w:ascii="Times New Roman" w:hAnsi="Times New Roman" w:cs="Times New Roman"/>
          <w:sz w:val="24"/>
          <w:szCs w:val="24"/>
        </w:rPr>
        <w:t xml:space="preserve">The powers granted to government agencies are inclusive of the right to enact, draft, and enforce policies that the private citizens, companies and industries must adhere to </w:t>
      </w:r>
      <w:sdt>
        <w:sdtPr>
          <w:rPr>
            <w:rFonts w:ascii="Times New Roman" w:hAnsi="Times New Roman" w:cs="Times New Roman"/>
            <w:sz w:val="24"/>
            <w:szCs w:val="24"/>
          </w:rPr>
          <w:id w:val="4296286"/>
          <w:citation/>
        </w:sdtPr>
        <w:sdtContent>
          <w:r w:rsidR="007C5353" w:rsidRPr="00A14147">
            <w:rPr>
              <w:rFonts w:ascii="Times New Roman" w:hAnsi="Times New Roman" w:cs="Times New Roman"/>
              <w:sz w:val="24"/>
              <w:szCs w:val="24"/>
            </w:rPr>
            <w:fldChar w:fldCharType="begin"/>
          </w:r>
          <w:r w:rsidR="007C5353" w:rsidRPr="00A14147">
            <w:rPr>
              <w:rFonts w:ascii="Times New Roman" w:hAnsi="Times New Roman" w:cs="Times New Roman"/>
              <w:sz w:val="24"/>
              <w:szCs w:val="24"/>
            </w:rPr>
            <w:instrText xml:space="preserve"> CITATION Ken18 \l 1033 </w:instrText>
          </w:r>
          <w:r w:rsidR="007C5353" w:rsidRPr="00A14147">
            <w:rPr>
              <w:rFonts w:ascii="Times New Roman" w:hAnsi="Times New Roman" w:cs="Times New Roman"/>
              <w:sz w:val="24"/>
              <w:szCs w:val="24"/>
            </w:rPr>
            <w:fldChar w:fldCharType="separate"/>
          </w:r>
          <w:r w:rsidR="007C5353" w:rsidRPr="00A14147">
            <w:rPr>
              <w:rFonts w:ascii="Times New Roman" w:hAnsi="Times New Roman" w:cs="Times New Roman"/>
              <w:noProof/>
              <w:sz w:val="24"/>
              <w:szCs w:val="24"/>
            </w:rPr>
            <w:t>(Kenton, 2018)</w:t>
          </w:r>
          <w:r w:rsidR="007C5353" w:rsidRPr="00A14147">
            <w:rPr>
              <w:rFonts w:ascii="Times New Roman" w:hAnsi="Times New Roman" w:cs="Times New Roman"/>
              <w:sz w:val="24"/>
              <w:szCs w:val="24"/>
            </w:rPr>
            <w:fldChar w:fldCharType="end"/>
          </w:r>
        </w:sdtContent>
      </w:sdt>
      <w:r w:rsidR="007C5353" w:rsidRPr="00A14147">
        <w:rPr>
          <w:rFonts w:ascii="Times New Roman" w:hAnsi="Times New Roman" w:cs="Times New Roman"/>
          <w:sz w:val="24"/>
          <w:szCs w:val="24"/>
        </w:rPr>
        <w:t xml:space="preserve">. </w:t>
      </w:r>
    </w:p>
    <w:p w:rsidR="00A14147" w:rsidRPr="00A14147" w:rsidRDefault="00A14147" w:rsidP="00A14147">
      <w:pPr>
        <w:spacing w:line="480" w:lineRule="auto"/>
        <w:rPr>
          <w:rFonts w:ascii="Times New Roman" w:hAnsi="Times New Roman" w:cs="Times New Roman"/>
          <w:sz w:val="24"/>
          <w:szCs w:val="24"/>
        </w:rPr>
      </w:pPr>
      <w:r w:rsidRPr="00A14147">
        <w:rPr>
          <w:rFonts w:ascii="Times New Roman" w:hAnsi="Times New Roman" w:cs="Times New Roman"/>
          <w:sz w:val="24"/>
          <w:szCs w:val="24"/>
        </w:rPr>
        <w:br w:type="page"/>
      </w:r>
    </w:p>
    <w:sdt>
      <w:sdtPr>
        <w:rPr>
          <w:rFonts w:ascii="Times New Roman" w:hAnsi="Times New Roman" w:cs="Times New Roman"/>
          <w:color w:val="auto"/>
          <w:sz w:val="24"/>
          <w:szCs w:val="24"/>
        </w:rPr>
        <w:id w:val="4296289"/>
        <w:docPartObj>
          <w:docPartGallery w:val="Bibliographies"/>
          <w:docPartUnique/>
        </w:docPartObj>
      </w:sdtPr>
      <w:sdtEndPr>
        <w:rPr>
          <w:rFonts w:eastAsiaTheme="minorEastAsia"/>
          <w:b w:val="0"/>
          <w:bCs w:val="0"/>
          <w:lang w:bidi="ar-SA"/>
        </w:rPr>
      </w:sdtEndPr>
      <w:sdtContent>
        <w:p w:rsidR="00A14147" w:rsidRPr="00A14147" w:rsidRDefault="00A14147" w:rsidP="00A14147">
          <w:pPr>
            <w:pStyle w:val="Heading1"/>
            <w:spacing w:line="480" w:lineRule="auto"/>
            <w:jc w:val="center"/>
            <w:rPr>
              <w:rFonts w:ascii="Times New Roman" w:hAnsi="Times New Roman" w:cs="Times New Roman"/>
              <w:color w:val="auto"/>
              <w:sz w:val="24"/>
              <w:szCs w:val="24"/>
            </w:rPr>
          </w:pPr>
          <w:r w:rsidRPr="00A14147">
            <w:rPr>
              <w:rFonts w:ascii="Times New Roman" w:hAnsi="Times New Roman" w:cs="Times New Roman"/>
              <w:color w:val="auto"/>
              <w:sz w:val="24"/>
              <w:szCs w:val="24"/>
            </w:rPr>
            <w:t xml:space="preserve">References </w:t>
          </w:r>
        </w:p>
        <w:sdt>
          <w:sdtPr>
            <w:rPr>
              <w:rFonts w:ascii="Times New Roman" w:hAnsi="Times New Roman" w:cs="Times New Roman"/>
              <w:sz w:val="24"/>
              <w:szCs w:val="24"/>
            </w:rPr>
            <w:id w:val="111145805"/>
            <w:bibliography/>
          </w:sdtPr>
          <w:sdtContent>
            <w:p w:rsidR="00A14147" w:rsidRPr="00A14147" w:rsidRDefault="00A14147" w:rsidP="00A14147">
              <w:pPr>
                <w:pStyle w:val="Bibliography"/>
                <w:spacing w:line="480" w:lineRule="auto"/>
                <w:ind w:left="720" w:hanging="720"/>
                <w:rPr>
                  <w:rFonts w:ascii="Times New Roman" w:hAnsi="Times New Roman" w:cs="Times New Roman"/>
                  <w:noProof/>
                  <w:sz w:val="24"/>
                  <w:szCs w:val="24"/>
                </w:rPr>
              </w:pPr>
              <w:r w:rsidRPr="00A14147">
                <w:rPr>
                  <w:rFonts w:ascii="Times New Roman" w:hAnsi="Times New Roman" w:cs="Times New Roman"/>
                  <w:sz w:val="24"/>
                  <w:szCs w:val="24"/>
                </w:rPr>
                <w:fldChar w:fldCharType="begin"/>
              </w:r>
              <w:r w:rsidRPr="00A14147">
                <w:rPr>
                  <w:rFonts w:ascii="Times New Roman" w:hAnsi="Times New Roman" w:cs="Times New Roman"/>
                  <w:sz w:val="24"/>
                  <w:szCs w:val="24"/>
                </w:rPr>
                <w:instrText xml:space="preserve"> BIBLIOGRAPHY </w:instrText>
              </w:r>
              <w:r w:rsidRPr="00A14147">
                <w:rPr>
                  <w:rFonts w:ascii="Times New Roman" w:hAnsi="Times New Roman" w:cs="Times New Roman"/>
                  <w:sz w:val="24"/>
                  <w:szCs w:val="24"/>
                </w:rPr>
                <w:fldChar w:fldCharType="separate"/>
              </w:r>
              <w:r w:rsidRPr="00A14147">
                <w:rPr>
                  <w:rFonts w:ascii="Times New Roman" w:hAnsi="Times New Roman" w:cs="Times New Roman"/>
                  <w:noProof/>
                  <w:sz w:val="24"/>
                  <w:szCs w:val="24"/>
                </w:rPr>
                <w:t xml:space="preserve">Burrus, T. (2015, June 22). </w:t>
              </w:r>
              <w:r w:rsidRPr="00A14147">
                <w:rPr>
                  <w:rFonts w:ascii="Times New Roman" w:hAnsi="Times New Roman" w:cs="Times New Roman"/>
                  <w:i/>
                  <w:iCs/>
                  <w:noProof/>
                  <w:sz w:val="24"/>
                  <w:szCs w:val="24"/>
                </w:rPr>
                <w:t>Voctory Oveer the Raisin Administrative Commitee: The New Seal Case that Took 80 Years to Bring</w:t>
              </w:r>
              <w:r w:rsidRPr="00A14147">
                <w:rPr>
                  <w:rFonts w:ascii="Times New Roman" w:hAnsi="Times New Roman" w:cs="Times New Roman"/>
                  <w:noProof/>
                  <w:sz w:val="24"/>
                  <w:szCs w:val="24"/>
                </w:rPr>
                <w:t>. Retrieved June 29, 2019, from Forbes: https://www.forbes.com/sites/trevorburrus/2015/06/22/victory-over-the-raisin-administrative-committee-the-new-deal-case-that-took-80-years-to-bring/#16a5cd6c1d64</w:t>
              </w:r>
            </w:p>
            <w:p w:rsidR="00A14147" w:rsidRPr="00A14147" w:rsidRDefault="00A14147" w:rsidP="00A14147">
              <w:pPr>
                <w:pStyle w:val="Bibliography"/>
                <w:spacing w:line="480" w:lineRule="auto"/>
                <w:ind w:left="720" w:hanging="720"/>
                <w:rPr>
                  <w:rFonts w:ascii="Times New Roman" w:hAnsi="Times New Roman" w:cs="Times New Roman"/>
                  <w:noProof/>
                  <w:sz w:val="24"/>
                  <w:szCs w:val="24"/>
                </w:rPr>
              </w:pPr>
              <w:r w:rsidRPr="00A14147">
                <w:rPr>
                  <w:rFonts w:ascii="Times New Roman" w:hAnsi="Times New Roman" w:cs="Times New Roman"/>
                  <w:noProof/>
                  <w:sz w:val="24"/>
                  <w:szCs w:val="24"/>
                </w:rPr>
                <w:t xml:space="preserve">Fisher, L. (2014). </w:t>
              </w:r>
              <w:r w:rsidRPr="00A14147">
                <w:rPr>
                  <w:rFonts w:ascii="Times New Roman" w:hAnsi="Times New Roman" w:cs="Times New Roman"/>
                  <w:i/>
                  <w:iCs/>
                  <w:noProof/>
                  <w:sz w:val="24"/>
                  <w:szCs w:val="24"/>
                </w:rPr>
                <w:t>The Law of the Executive Branch: Presidential Power.</w:t>
              </w:r>
              <w:r w:rsidRPr="00A14147">
                <w:rPr>
                  <w:rFonts w:ascii="Times New Roman" w:hAnsi="Times New Roman" w:cs="Times New Roman"/>
                  <w:noProof/>
                  <w:sz w:val="24"/>
                  <w:szCs w:val="24"/>
                </w:rPr>
                <w:t xml:space="preserve"> Oxford: Oxford University Press.</w:t>
              </w:r>
            </w:p>
            <w:p w:rsidR="00A14147" w:rsidRPr="00A14147" w:rsidRDefault="00A14147" w:rsidP="00A14147">
              <w:pPr>
                <w:pStyle w:val="Bibliography"/>
                <w:spacing w:line="480" w:lineRule="auto"/>
                <w:ind w:left="720" w:hanging="720"/>
                <w:rPr>
                  <w:rFonts w:ascii="Times New Roman" w:hAnsi="Times New Roman" w:cs="Times New Roman"/>
                  <w:noProof/>
                  <w:sz w:val="24"/>
                  <w:szCs w:val="24"/>
                </w:rPr>
              </w:pPr>
              <w:r w:rsidRPr="00A14147">
                <w:rPr>
                  <w:rFonts w:ascii="Times New Roman" w:hAnsi="Times New Roman" w:cs="Times New Roman"/>
                  <w:noProof/>
                  <w:sz w:val="24"/>
                  <w:szCs w:val="24"/>
                </w:rPr>
                <w:t xml:space="preserve">Hansen, S. P. (2012). Whose Defense Is It Anyway: Redefining the Role of the Legislative Branch in the Defense of Federal Statutes. . </w:t>
              </w:r>
              <w:r w:rsidRPr="00A14147">
                <w:rPr>
                  <w:rFonts w:ascii="Times New Roman" w:hAnsi="Times New Roman" w:cs="Times New Roman"/>
                  <w:i/>
                  <w:iCs/>
                  <w:noProof/>
                  <w:sz w:val="24"/>
                  <w:szCs w:val="24"/>
                </w:rPr>
                <w:t>Emory LJ</w:t>
              </w:r>
              <w:r w:rsidRPr="00A14147">
                <w:rPr>
                  <w:rFonts w:ascii="Times New Roman" w:hAnsi="Times New Roman" w:cs="Times New Roman"/>
                  <w:noProof/>
                  <w:sz w:val="24"/>
                  <w:szCs w:val="24"/>
                </w:rPr>
                <w:t xml:space="preserve"> , 1159.</w:t>
              </w:r>
            </w:p>
            <w:p w:rsidR="00A14147" w:rsidRPr="00A14147" w:rsidRDefault="00A14147" w:rsidP="00A14147">
              <w:pPr>
                <w:pStyle w:val="Bibliography"/>
                <w:spacing w:line="480" w:lineRule="auto"/>
                <w:ind w:left="720" w:hanging="720"/>
                <w:rPr>
                  <w:rFonts w:ascii="Times New Roman" w:hAnsi="Times New Roman" w:cs="Times New Roman"/>
                  <w:noProof/>
                  <w:sz w:val="24"/>
                  <w:szCs w:val="24"/>
                </w:rPr>
              </w:pPr>
              <w:r w:rsidRPr="00A14147">
                <w:rPr>
                  <w:rFonts w:ascii="Times New Roman" w:hAnsi="Times New Roman" w:cs="Times New Roman"/>
                  <w:noProof/>
                  <w:sz w:val="24"/>
                  <w:szCs w:val="24"/>
                </w:rPr>
                <w:t xml:space="preserve">Kenton, W. (2018, May 31). </w:t>
              </w:r>
              <w:r w:rsidRPr="00A14147">
                <w:rPr>
                  <w:rFonts w:ascii="Times New Roman" w:hAnsi="Times New Roman" w:cs="Times New Roman"/>
                  <w:i/>
                  <w:iCs/>
                  <w:noProof/>
                  <w:sz w:val="24"/>
                  <w:szCs w:val="24"/>
                </w:rPr>
                <w:t>Administrative Law</w:t>
              </w:r>
              <w:r w:rsidRPr="00A14147">
                <w:rPr>
                  <w:rFonts w:ascii="Times New Roman" w:hAnsi="Times New Roman" w:cs="Times New Roman"/>
                  <w:noProof/>
                  <w:sz w:val="24"/>
                  <w:szCs w:val="24"/>
                </w:rPr>
                <w:t>. Retrieved June 29, 2019, from Investopedia: https://www.investopedia.com/terms/a/administrative-law.asp</w:t>
              </w:r>
            </w:p>
            <w:p w:rsidR="00A14147" w:rsidRPr="00A14147" w:rsidRDefault="00A14147" w:rsidP="00A14147">
              <w:pPr>
                <w:pStyle w:val="Bibliography"/>
                <w:spacing w:line="480" w:lineRule="auto"/>
                <w:ind w:left="720" w:hanging="720"/>
                <w:rPr>
                  <w:rFonts w:ascii="Times New Roman" w:hAnsi="Times New Roman" w:cs="Times New Roman"/>
                  <w:noProof/>
                  <w:sz w:val="24"/>
                  <w:szCs w:val="24"/>
                </w:rPr>
              </w:pPr>
              <w:r w:rsidRPr="00A14147">
                <w:rPr>
                  <w:rFonts w:ascii="Times New Roman" w:hAnsi="Times New Roman" w:cs="Times New Roman"/>
                  <w:noProof/>
                  <w:sz w:val="24"/>
                  <w:szCs w:val="24"/>
                </w:rPr>
                <w:t xml:space="preserve">Klimenko, A. (2014). The decade of administrative reform: results and new challenges. . </w:t>
              </w:r>
              <w:r w:rsidRPr="00A14147">
                <w:rPr>
                  <w:rFonts w:ascii="Times New Roman" w:hAnsi="Times New Roman" w:cs="Times New Roman"/>
                  <w:i/>
                  <w:iCs/>
                  <w:noProof/>
                  <w:sz w:val="24"/>
                  <w:szCs w:val="24"/>
                </w:rPr>
                <w:t>Public administration issues</w:t>
              </w:r>
              <w:r w:rsidRPr="00A14147">
                <w:rPr>
                  <w:rFonts w:ascii="Times New Roman" w:hAnsi="Times New Roman" w:cs="Times New Roman"/>
                  <w:noProof/>
                  <w:sz w:val="24"/>
                  <w:szCs w:val="24"/>
                </w:rPr>
                <w:t xml:space="preserve"> , 8-51.</w:t>
              </w:r>
            </w:p>
            <w:p w:rsidR="00A14147" w:rsidRPr="00A14147" w:rsidRDefault="00A14147" w:rsidP="00A14147">
              <w:pPr>
                <w:pStyle w:val="Bibliography"/>
                <w:spacing w:line="480" w:lineRule="auto"/>
                <w:ind w:left="720" w:hanging="720"/>
                <w:rPr>
                  <w:rFonts w:ascii="Times New Roman" w:hAnsi="Times New Roman" w:cs="Times New Roman"/>
                  <w:noProof/>
                  <w:sz w:val="24"/>
                  <w:szCs w:val="24"/>
                </w:rPr>
              </w:pPr>
              <w:r w:rsidRPr="00A14147">
                <w:rPr>
                  <w:rFonts w:ascii="Times New Roman" w:hAnsi="Times New Roman" w:cs="Times New Roman"/>
                  <w:noProof/>
                  <w:sz w:val="24"/>
                  <w:szCs w:val="24"/>
                </w:rPr>
                <w:t xml:space="preserve">Mitchell, K. L. (2016, July 25). </w:t>
              </w:r>
              <w:r w:rsidRPr="00A14147">
                <w:rPr>
                  <w:rFonts w:ascii="Times New Roman" w:hAnsi="Times New Roman" w:cs="Times New Roman"/>
                  <w:i/>
                  <w:iCs/>
                  <w:noProof/>
                  <w:sz w:val="24"/>
                  <w:szCs w:val="24"/>
                </w:rPr>
                <w:t>Sentencing Guidelines Resource Center: The Importance of Case Law</w:t>
              </w:r>
              <w:r w:rsidRPr="00A14147">
                <w:rPr>
                  <w:rFonts w:ascii="Times New Roman" w:hAnsi="Times New Roman" w:cs="Times New Roman"/>
                  <w:noProof/>
                  <w:sz w:val="24"/>
                  <w:szCs w:val="24"/>
                </w:rPr>
                <w:t>. Retrieved June 29, 2019, from University of Minnesota: https://sentencing.umn.edu/content/importance-case-law</w:t>
              </w:r>
            </w:p>
            <w:p w:rsidR="00A14147" w:rsidRPr="00A14147" w:rsidRDefault="00A14147" w:rsidP="00A14147">
              <w:pPr>
                <w:pStyle w:val="Bibliography"/>
                <w:spacing w:line="480" w:lineRule="auto"/>
                <w:ind w:left="720" w:hanging="720"/>
                <w:rPr>
                  <w:rFonts w:ascii="Times New Roman" w:hAnsi="Times New Roman" w:cs="Times New Roman"/>
                  <w:noProof/>
                  <w:sz w:val="24"/>
                  <w:szCs w:val="24"/>
                </w:rPr>
              </w:pPr>
              <w:r w:rsidRPr="00A14147">
                <w:rPr>
                  <w:rFonts w:ascii="Times New Roman" w:hAnsi="Times New Roman" w:cs="Times New Roman"/>
                  <w:noProof/>
                  <w:sz w:val="24"/>
                  <w:szCs w:val="24"/>
                </w:rPr>
                <w:t xml:space="preserve">Shuibine, N. N., &amp; Maci, M. (2013). Proving public interest: The growing impact of evidence in free movement case law. </w:t>
              </w:r>
              <w:r w:rsidRPr="00A14147">
                <w:rPr>
                  <w:rFonts w:ascii="Times New Roman" w:hAnsi="Times New Roman" w:cs="Times New Roman"/>
                  <w:i/>
                  <w:iCs/>
                  <w:noProof/>
                  <w:sz w:val="24"/>
                  <w:szCs w:val="24"/>
                </w:rPr>
                <w:t>Common Market Law Review</w:t>
              </w:r>
              <w:r w:rsidRPr="00A14147">
                <w:rPr>
                  <w:rFonts w:ascii="Times New Roman" w:hAnsi="Times New Roman" w:cs="Times New Roman"/>
                  <w:noProof/>
                  <w:sz w:val="24"/>
                  <w:szCs w:val="24"/>
                </w:rPr>
                <w:t xml:space="preserve"> </w:t>
              </w:r>
              <w:r w:rsidRPr="00A14147">
                <w:rPr>
                  <w:rFonts w:ascii="Times New Roman" w:hAnsi="Times New Roman" w:cs="Times New Roman"/>
                  <w:i/>
                  <w:iCs/>
                  <w:noProof/>
                  <w:sz w:val="24"/>
                  <w:szCs w:val="24"/>
                </w:rPr>
                <w:t>, 50</w:t>
              </w:r>
              <w:r w:rsidRPr="00A14147">
                <w:rPr>
                  <w:rFonts w:ascii="Times New Roman" w:hAnsi="Times New Roman" w:cs="Times New Roman"/>
                  <w:noProof/>
                  <w:sz w:val="24"/>
                  <w:szCs w:val="24"/>
                </w:rPr>
                <w:t xml:space="preserve"> (4), 965-1005.</w:t>
              </w:r>
            </w:p>
            <w:p w:rsidR="00A14147" w:rsidRPr="00A14147" w:rsidRDefault="00A14147" w:rsidP="00A14147">
              <w:pPr>
                <w:spacing w:line="480" w:lineRule="auto"/>
                <w:ind w:left="720" w:hanging="720"/>
                <w:rPr>
                  <w:rFonts w:ascii="Times New Roman" w:hAnsi="Times New Roman" w:cs="Times New Roman"/>
                  <w:sz w:val="24"/>
                  <w:szCs w:val="24"/>
                </w:rPr>
              </w:pPr>
              <w:r w:rsidRPr="00A14147">
                <w:rPr>
                  <w:rFonts w:ascii="Times New Roman" w:hAnsi="Times New Roman" w:cs="Times New Roman"/>
                  <w:sz w:val="24"/>
                  <w:szCs w:val="24"/>
                </w:rPr>
                <w:fldChar w:fldCharType="end"/>
              </w:r>
            </w:p>
          </w:sdtContent>
        </w:sdt>
      </w:sdtContent>
    </w:sdt>
    <w:p w:rsidR="008F3228" w:rsidRPr="00A14147" w:rsidRDefault="008F3228" w:rsidP="00A14147">
      <w:pPr>
        <w:spacing w:line="480" w:lineRule="auto"/>
        <w:ind w:firstLine="720"/>
        <w:rPr>
          <w:rFonts w:ascii="Times New Roman" w:hAnsi="Times New Roman" w:cs="Times New Roman"/>
          <w:sz w:val="24"/>
          <w:szCs w:val="24"/>
        </w:rPr>
      </w:pPr>
    </w:p>
    <w:sectPr w:rsidR="008F3228" w:rsidRPr="00A14147" w:rsidSect="00A1414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5F7C" w:rsidRDefault="00ED5F7C" w:rsidP="00A14147">
      <w:pPr>
        <w:spacing w:after="0" w:line="240" w:lineRule="auto"/>
      </w:pPr>
      <w:r>
        <w:separator/>
      </w:r>
    </w:p>
  </w:endnote>
  <w:endnote w:type="continuationSeparator" w:id="1">
    <w:p w:rsidR="00ED5F7C" w:rsidRDefault="00ED5F7C" w:rsidP="00A141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5F7C" w:rsidRDefault="00ED5F7C" w:rsidP="00A14147">
      <w:pPr>
        <w:spacing w:after="0" w:line="240" w:lineRule="auto"/>
      </w:pPr>
      <w:r>
        <w:separator/>
      </w:r>
    </w:p>
  </w:footnote>
  <w:footnote w:type="continuationSeparator" w:id="1">
    <w:p w:rsidR="00ED5F7C" w:rsidRDefault="00ED5F7C" w:rsidP="00A141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147" w:rsidRPr="00A14147" w:rsidRDefault="00A14147">
    <w:pPr>
      <w:pStyle w:val="Header"/>
      <w:jc w:val="right"/>
      <w:rPr>
        <w:rFonts w:ascii="Times New Roman" w:hAnsi="Times New Roman" w:cs="Times New Roman"/>
        <w:sz w:val="24"/>
      </w:rPr>
    </w:pPr>
    <w:r w:rsidRPr="00A14147">
      <w:rPr>
        <w:rFonts w:ascii="Times New Roman" w:hAnsi="Times New Roman" w:cs="Times New Roman"/>
        <w:sz w:val="24"/>
      </w:rPr>
      <w:t>DEF</w:t>
    </w:r>
    <w:r>
      <w:rPr>
        <w:rFonts w:ascii="Times New Roman" w:hAnsi="Times New Roman" w:cs="Times New Roman"/>
        <w:sz w:val="24"/>
      </w:rPr>
      <w:t>I</w:t>
    </w:r>
    <w:r w:rsidRPr="00A14147">
      <w:rPr>
        <w:rFonts w:ascii="Times New Roman" w:hAnsi="Times New Roman" w:cs="Times New Roman"/>
        <w:sz w:val="24"/>
      </w:rPr>
      <w:t>NITION OF TERMS</w:t>
    </w:r>
    <w:r w:rsidRPr="00A14147">
      <w:rPr>
        <w:rFonts w:ascii="Times New Roman" w:hAnsi="Times New Roman" w:cs="Times New Roman"/>
        <w:sz w:val="24"/>
      </w:rPr>
      <w:tab/>
    </w:r>
    <w:r w:rsidRPr="00A14147">
      <w:rPr>
        <w:rFonts w:ascii="Times New Roman" w:hAnsi="Times New Roman" w:cs="Times New Roman"/>
        <w:sz w:val="24"/>
      </w:rPr>
      <w:tab/>
    </w:r>
    <w:sdt>
      <w:sdtPr>
        <w:rPr>
          <w:rFonts w:ascii="Times New Roman" w:hAnsi="Times New Roman" w:cs="Times New Roman"/>
          <w:sz w:val="24"/>
        </w:rPr>
        <w:id w:val="4296292"/>
        <w:docPartObj>
          <w:docPartGallery w:val="Page Numbers (Top of Page)"/>
          <w:docPartUnique/>
        </w:docPartObj>
      </w:sdtPr>
      <w:sdtContent>
        <w:r w:rsidRPr="00A14147">
          <w:rPr>
            <w:rFonts w:ascii="Times New Roman" w:hAnsi="Times New Roman" w:cs="Times New Roman"/>
            <w:sz w:val="24"/>
          </w:rPr>
          <w:fldChar w:fldCharType="begin"/>
        </w:r>
        <w:r w:rsidRPr="00A14147">
          <w:rPr>
            <w:rFonts w:ascii="Times New Roman" w:hAnsi="Times New Roman" w:cs="Times New Roman"/>
            <w:sz w:val="24"/>
          </w:rPr>
          <w:instrText xml:space="preserve"> PAGE   \* MERGEFORMAT </w:instrText>
        </w:r>
        <w:r w:rsidRPr="00A14147">
          <w:rPr>
            <w:rFonts w:ascii="Times New Roman" w:hAnsi="Times New Roman" w:cs="Times New Roman"/>
            <w:sz w:val="24"/>
          </w:rPr>
          <w:fldChar w:fldCharType="separate"/>
        </w:r>
        <w:r>
          <w:rPr>
            <w:rFonts w:ascii="Times New Roman" w:hAnsi="Times New Roman" w:cs="Times New Roman"/>
            <w:noProof/>
            <w:sz w:val="24"/>
          </w:rPr>
          <w:t>4</w:t>
        </w:r>
        <w:r w:rsidRPr="00A14147">
          <w:rPr>
            <w:rFonts w:ascii="Times New Roman" w:hAnsi="Times New Roman" w:cs="Times New Roman"/>
            <w:sz w:val="24"/>
          </w:rPr>
          <w:fldChar w:fldCharType="end"/>
        </w:r>
      </w:sdtContent>
    </w:sdt>
  </w:p>
  <w:p w:rsidR="00A14147" w:rsidRPr="00A14147" w:rsidRDefault="00A14147">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147" w:rsidRPr="00A14147" w:rsidRDefault="00A14147">
    <w:pPr>
      <w:pStyle w:val="Header"/>
      <w:jc w:val="right"/>
      <w:rPr>
        <w:rFonts w:ascii="Times New Roman" w:hAnsi="Times New Roman" w:cs="Times New Roman"/>
        <w:sz w:val="24"/>
      </w:rPr>
    </w:pPr>
    <w:r w:rsidRPr="00A14147">
      <w:rPr>
        <w:rFonts w:ascii="Times New Roman" w:hAnsi="Times New Roman" w:cs="Times New Roman"/>
        <w:sz w:val="24"/>
      </w:rPr>
      <w:t>Running Head: DEF</w:t>
    </w:r>
    <w:r>
      <w:rPr>
        <w:rFonts w:ascii="Times New Roman" w:hAnsi="Times New Roman" w:cs="Times New Roman"/>
        <w:sz w:val="24"/>
      </w:rPr>
      <w:t>I</w:t>
    </w:r>
    <w:r w:rsidRPr="00A14147">
      <w:rPr>
        <w:rFonts w:ascii="Times New Roman" w:hAnsi="Times New Roman" w:cs="Times New Roman"/>
        <w:sz w:val="24"/>
      </w:rPr>
      <w:t xml:space="preserve">NITION OF TERMS </w:t>
    </w:r>
    <w:r w:rsidRPr="00A14147">
      <w:rPr>
        <w:rFonts w:ascii="Times New Roman" w:hAnsi="Times New Roman" w:cs="Times New Roman"/>
        <w:sz w:val="24"/>
      </w:rPr>
      <w:tab/>
    </w:r>
    <w:r w:rsidRPr="00A14147">
      <w:rPr>
        <w:rFonts w:ascii="Times New Roman" w:hAnsi="Times New Roman" w:cs="Times New Roman"/>
        <w:sz w:val="24"/>
      </w:rPr>
      <w:tab/>
    </w:r>
    <w:sdt>
      <w:sdtPr>
        <w:rPr>
          <w:rFonts w:ascii="Times New Roman" w:hAnsi="Times New Roman" w:cs="Times New Roman"/>
          <w:sz w:val="24"/>
        </w:rPr>
        <w:id w:val="4296312"/>
        <w:docPartObj>
          <w:docPartGallery w:val="Page Numbers (Top of Page)"/>
          <w:docPartUnique/>
        </w:docPartObj>
      </w:sdtPr>
      <w:sdtContent>
        <w:r w:rsidRPr="00A14147">
          <w:rPr>
            <w:rFonts w:ascii="Times New Roman" w:hAnsi="Times New Roman" w:cs="Times New Roman"/>
            <w:sz w:val="24"/>
          </w:rPr>
          <w:fldChar w:fldCharType="begin"/>
        </w:r>
        <w:r w:rsidRPr="00A14147">
          <w:rPr>
            <w:rFonts w:ascii="Times New Roman" w:hAnsi="Times New Roman" w:cs="Times New Roman"/>
            <w:sz w:val="24"/>
          </w:rPr>
          <w:instrText xml:space="preserve"> PAGE   \* MERGEFORMAT </w:instrText>
        </w:r>
        <w:r w:rsidRPr="00A14147">
          <w:rPr>
            <w:rFonts w:ascii="Times New Roman" w:hAnsi="Times New Roman" w:cs="Times New Roman"/>
            <w:sz w:val="24"/>
          </w:rPr>
          <w:fldChar w:fldCharType="separate"/>
        </w:r>
        <w:r>
          <w:rPr>
            <w:rFonts w:ascii="Times New Roman" w:hAnsi="Times New Roman" w:cs="Times New Roman"/>
            <w:noProof/>
            <w:sz w:val="24"/>
          </w:rPr>
          <w:t>1</w:t>
        </w:r>
        <w:r w:rsidRPr="00A14147">
          <w:rPr>
            <w:rFonts w:ascii="Times New Roman" w:hAnsi="Times New Roman" w:cs="Times New Roman"/>
            <w:sz w:val="24"/>
          </w:rPr>
          <w:fldChar w:fldCharType="end"/>
        </w:r>
      </w:sdtContent>
    </w:sdt>
  </w:p>
  <w:p w:rsidR="00A14147" w:rsidRPr="00A14147" w:rsidRDefault="00A14147">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10628D"/>
    <w:rsid w:val="0010628D"/>
    <w:rsid w:val="002054D0"/>
    <w:rsid w:val="0021643D"/>
    <w:rsid w:val="00246AF9"/>
    <w:rsid w:val="00555226"/>
    <w:rsid w:val="007C5353"/>
    <w:rsid w:val="008F3228"/>
    <w:rsid w:val="009B5C75"/>
    <w:rsid w:val="00A14147"/>
    <w:rsid w:val="00ED5F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14147"/>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54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4D0"/>
    <w:rPr>
      <w:rFonts w:ascii="Tahoma" w:hAnsi="Tahoma" w:cs="Tahoma"/>
      <w:sz w:val="16"/>
      <w:szCs w:val="16"/>
    </w:rPr>
  </w:style>
  <w:style w:type="character" w:customStyle="1" w:styleId="Heading1Char">
    <w:name w:val="Heading 1 Char"/>
    <w:basedOn w:val="DefaultParagraphFont"/>
    <w:link w:val="Heading1"/>
    <w:uiPriority w:val="9"/>
    <w:rsid w:val="00A14147"/>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A14147"/>
  </w:style>
  <w:style w:type="paragraph" w:styleId="Header">
    <w:name w:val="header"/>
    <w:basedOn w:val="Normal"/>
    <w:link w:val="HeaderChar"/>
    <w:uiPriority w:val="99"/>
    <w:unhideWhenUsed/>
    <w:rsid w:val="00A141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147"/>
  </w:style>
  <w:style w:type="paragraph" w:styleId="Footer">
    <w:name w:val="footer"/>
    <w:basedOn w:val="Normal"/>
    <w:link w:val="FooterChar"/>
    <w:uiPriority w:val="99"/>
    <w:semiHidden/>
    <w:unhideWhenUsed/>
    <w:rsid w:val="00A1414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1414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Shu13</b:Tag>
    <b:SourceType>JournalArticle</b:SourceType>
    <b:Guid>{A0949E87-C916-4D19-9F18-960C70160724}</b:Guid>
    <b:LCID>0</b:LCID>
    <b:Author>
      <b:Author>
        <b:NameList>
          <b:Person>
            <b:Last>Shuibine</b:Last>
            <b:First>Niamh</b:First>
            <b:Middle>Nic</b:Middle>
          </b:Person>
          <b:Person>
            <b:Last>Maci</b:Last>
            <b:First>Masela</b:First>
          </b:Person>
        </b:NameList>
      </b:Author>
    </b:Author>
    <b:Title>Proving public interest: The growing impact of evidence in free movement case law.</b:Title>
    <b:Year>2013</b:Year>
    <b:JournalName>Common Market Law Review</b:JournalName>
    <b:Pages>965-1005</b:Pages>
    <b:Volume>50</b:Volume>
    <b:Issue>4</b:Issue>
    <b:RefOrder>4</b:RefOrder>
  </b:Source>
  <b:Source>
    <b:Tag>Mit16</b:Tag>
    <b:SourceType>InternetSite</b:SourceType>
    <b:Guid>{702DDDAF-00F4-48D6-8D1F-DAC9623A9308}</b:Guid>
    <b:LCID>0</b:LCID>
    <b:Author>
      <b:Author>
        <b:NameList>
          <b:Person>
            <b:Last>Mitchell</b:Last>
            <b:First>Kelly</b:First>
            <b:Middle>Lyn</b:Middle>
          </b:Person>
        </b:NameList>
      </b:Author>
    </b:Author>
    <b:Title>Sentencing Guidelines Resource Center: The Importance of Case Law</b:Title>
    <b:Year>2016</b:Year>
    <b:InternetSiteTitle>University of Minnesota</b:InternetSiteTitle>
    <b:Month>July</b:Month>
    <b:Day>25</b:Day>
    <b:YearAccessed>2019</b:YearAccessed>
    <b:MonthAccessed>June</b:MonthAccessed>
    <b:DayAccessed>29</b:DayAccessed>
    <b:URL>https://sentencing.umn.edu/content/importance-case-law</b:URL>
    <b:RefOrder>3</b:RefOrder>
  </b:Source>
  <b:Source>
    <b:Tag>Bur15</b:Tag>
    <b:SourceType>InternetSite</b:SourceType>
    <b:Guid>{D4327C86-4F59-412A-B862-3DF76CF959C7}</b:Guid>
    <b:LCID>0</b:LCID>
    <b:Author>
      <b:Author>
        <b:NameList>
          <b:Person>
            <b:Last>Burrus</b:Last>
            <b:First>Trevor</b:First>
          </b:Person>
        </b:NameList>
      </b:Author>
    </b:Author>
    <b:Title>Voctory Oveer the Raisin Administrative Commitee: The New Seal Case that Took 80 Years to Bring</b:Title>
    <b:InternetSiteTitle>Forbes</b:InternetSiteTitle>
    <b:Year>2015</b:Year>
    <b:Month>June</b:Month>
    <b:Day>22</b:Day>
    <b:YearAccessed>2019</b:YearAccessed>
    <b:MonthAccessed>June</b:MonthAccessed>
    <b:DayAccessed>29</b:DayAccessed>
    <b:URL>https://www.forbes.com/sites/trevorburrus/2015/06/22/victory-over-the-raisin-administrative-committee-the-new-deal-case-that-took-80-years-to-bring/#16a5cd6c1d64</b:URL>
    <b:RefOrder>6</b:RefOrder>
  </b:Source>
  <b:Source>
    <b:Tag>Kli14</b:Tag>
    <b:SourceType>JournalArticle</b:SourceType>
    <b:Guid>{5DC6F623-F7C2-458E-960F-D7B69ECE6D66}</b:Guid>
    <b:LCID>0</b:LCID>
    <b:Author>
      <b:Author>
        <b:NameList>
          <b:Person>
            <b:Last>Klimenko</b:Last>
            <b:First>Andrey</b:First>
          </b:Person>
        </b:NameList>
      </b:Author>
    </b:Author>
    <b:Title>The decade of administrative reform: results and new challenges. </b:Title>
    <b:Year>2014</b:Year>
    <b:JournalName>Public administration issues</b:JournalName>
    <b:Pages>8-51</b:Pages>
    <b:RefOrder>5</b:RefOrder>
  </b:Source>
  <b:Source>
    <b:Tag>Ken18</b:Tag>
    <b:SourceType>InternetSite</b:SourceType>
    <b:Guid>{C3E67987-2353-4B98-9369-BA7F81B47F0C}</b:Guid>
    <b:LCID>0</b:LCID>
    <b:Author>
      <b:Author>
        <b:NameList>
          <b:Person>
            <b:Last>Kenton</b:Last>
            <b:First>Will</b:First>
          </b:Person>
        </b:NameList>
      </b:Author>
    </b:Author>
    <b:Title>Administrative Law</b:Title>
    <b:Year>2018</b:Year>
    <b:InternetSiteTitle>Investopedia</b:InternetSiteTitle>
    <b:Month>May</b:Month>
    <b:Day>31</b:Day>
    <b:YearAccessed>2019</b:YearAccessed>
    <b:MonthAccessed>June</b:MonthAccessed>
    <b:DayAccessed>29</b:DayAccessed>
    <b:URL>https://www.investopedia.com/terms/a/administrative-law.asp</b:URL>
    <b:RefOrder>7</b:RefOrder>
  </b:Source>
  <b:Source>
    <b:Tag>Fis14</b:Tag>
    <b:SourceType>Book</b:SourceType>
    <b:Guid>{B2505085-0F17-46AA-AE98-325E12FB0FD0}</b:Guid>
    <b:LCID>0</b:LCID>
    <b:Author>
      <b:Author>
        <b:NameList>
          <b:Person>
            <b:Last>Fisher</b:Last>
            <b:First>Louis</b:First>
          </b:Person>
        </b:NameList>
      </b:Author>
    </b:Author>
    <b:Title>The Law of the Executive Branch: Presidential Power</b:Title>
    <b:Year>2014</b:Year>
    <b:City>Oxford</b:City>
    <b:Publisher>Oxford University Press</b:Publisher>
    <b:RefOrder>2</b:RefOrder>
  </b:Source>
  <b:Source>
    <b:Tag>Han12</b:Tag>
    <b:SourceType>JournalArticle</b:SourceType>
    <b:Guid>{7D4E8340-4985-48CA-ADE0-19A96A2A5413}</b:Guid>
    <b:LCID>0</b:LCID>
    <b:Author>
      <b:Author>
        <b:NameList>
          <b:Person>
            <b:Last>Hansen</b:Last>
            <b:First>Simon</b:First>
            <b:Middle>P.</b:Middle>
          </b:Person>
        </b:NameList>
      </b:Author>
    </b:Author>
    <b:Title>Whose Defense Is It Anyway: Redefining the Role of the Legislative Branch in the Defense of Federal Statutes. </b:Title>
    <b:Year>2012</b:Year>
    <b:JournalName>Emory LJ</b:JournalName>
    <b:Pages>1159</b:Pages>
    <b:RefOrder>1</b:RefOrder>
  </b:Source>
</b:Sources>
</file>

<file path=customXml/itemProps1.xml><?xml version="1.0" encoding="utf-8"?>
<ds:datastoreItem xmlns:ds="http://schemas.openxmlformats.org/officeDocument/2006/customXml" ds:itemID="{A66BDFAD-6E71-434B-AE3E-D528E618A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4</Pages>
  <Words>785</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2019-06-30T06:23:00Z</dcterms:created>
  <dcterms:modified xsi:type="dcterms:W3CDTF">2019-06-30T08:22:00Z</dcterms:modified>
</cp:coreProperties>
</file>